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58" w:rsidRDefault="00081A58" w:rsidP="00081A5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right="-284" w:firstLine="567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Порядок начисления платы за отопление.</w:t>
      </w:r>
    </w:p>
    <w:p w:rsidR="00081A58" w:rsidRDefault="00081A58" w:rsidP="00081A58">
      <w:pPr>
        <w:tabs>
          <w:tab w:val="left" w:pos="567"/>
          <w:tab w:val="left" w:pos="851"/>
        </w:tabs>
        <w:autoSpaceDE w:val="0"/>
        <w:autoSpaceDN w:val="0"/>
        <w:adjustRightInd w:val="0"/>
        <w:spacing w:after="0" w:line="240" w:lineRule="auto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A58" w:rsidRPr="00E77770" w:rsidRDefault="00081A58" w:rsidP="00081A58">
      <w:pPr>
        <w:tabs>
          <w:tab w:val="left" w:pos="567"/>
          <w:tab w:val="left" w:pos="851"/>
        </w:tabs>
        <w:autoSpaceDE w:val="0"/>
        <w:autoSpaceDN w:val="0"/>
        <w:adjustRightInd w:val="0"/>
        <w:spacing w:after="0"/>
        <w:ind w:left="-567" w:right="-284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77770">
        <w:rPr>
          <w:rFonts w:ascii="Times New Roman" w:hAnsi="Times New Roman" w:cs="Times New Roman"/>
          <w:sz w:val="26"/>
          <w:szCs w:val="26"/>
        </w:rPr>
        <w:t xml:space="preserve">Отношения по предоставлению коммунальных услуг собственникам и пользователям помещений в многоквартирных домах, собственникам и пользователям жилых домов, в том числе отношения между исполнителями и потребителями коммунальных услуг, их права и обязанности, </w:t>
      </w:r>
      <w:r>
        <w:rPr>
          <w:rFonts w:ascii="Times New Roman" w:hAnsi="Times New Roman" w:cs="Times New Roman"/>
          <w:sz w:val="26"/>
          <w:szCs w:val="26"/>
        </w:rPr>
        <w:t>…</w:t>
      </w:r>
      <w:r w:rsidRPr="00E77770">
        <w:rPr>
          <w:rFonts w:ascii="Times New Roman" w:hAnsi="Times New Roman" w:cs="Times New Roman"/>
          <w:sz w:val="26"/>
          <w:szCs w:val="26"/>
        </w:rPr>
        <w:t>порядок определения размера платы за коммунальные услуги с использованием приборов учета и при их отсутствии определяются Правилами предоставления коммунальных услуг собственникам и пользователям помещений в многоквартирных домах, собственникам и пользователям жилых домов, утв. Постановлением Правительства Российской Федерации от 06 мая 2011г. №354 (далее – Правила №354).</w:t>
      </w:r>
    </w:p>
    <w:p w:rsidR="00481267" w:rsidRDefault="00481267" w:rsidP="00081A58"/>
    <w:p w:rsidR="00081A58" w:rsidRDefault="00081A58" w:rsidP="00081A58">
      <w:pPr>
        <w:rPr>
          <w:rFonts w:ascii="Times New Roman" w:hAnsi="Times New Roman" w:cs="Times New Roman"/>
          <w:sz w:val="26"/>
          <w:szCs w:val="26"/>
        </w:rPr>
      </w:pPr>
      <w:r w:rsidRPr="00081A58">
        <w:rPr>
          <w:rFonts w:ascii="Times New Roman" w:hAnsi="Times New Roman" w:cs="Times New Roman"/>
          <w:sz w:val="26"/>
          <w:szCs w:val="26"/>
        </w:rPr>
        <w:t xml:space="preserve">Согласно </w:t>
      </w:r>
      <w:proofErr w:type="gramStart"/>
      <w:r w:rsidRPr="00081A58">
        <w:rPr>
          <w:rFonts w:ascii="Times New Roman" w:hAnsi="Times New Roman" w:cs="Times New Roman"/>
          <w:sz w:val="26"/>
          <w:szCs w:val="26"/>
        </w:rPr>
        <w:t>положений Правил</w:t>
      </w:r>
      <w:proofErr w:type="gramEnd"/>
      <w:r w:rsidRPr="00081A58">
        <w:rPr>
          <w:rFonts w:ascii="Times New Roman" w:hAnsi="Times New Roman" w:cs="Times New Roman"/>
          <w:sz w:val="26"/>
          <w:szCs w:val="26"/>
        </w:rPr>
        <w:t xml:space="preserve"> №354: </w:t>
      </w:r>
    </w:p>
    <w:p w:rsidR="00081A58" w:rsidRDefault="00081A58" w:rsidP="00081A58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 w:rsidRPr="00081A58">
        <w:rPr>
          <w:rFonts w:ascii="Times New Roman" w:hAnsi="Times New Roman" w:cs="Times New Roman"/>
          <w:sz w:val="26"/>
          <w:szCs w:val="26"/>
        </w:rPr>
        <w:t>38. Размер платы за коммунальные услуги рассчитывается по тарифам (ценам) для потребителей, установленным ресурсоснабжающей организации в порядке, определенном законодательством Российской Федерации о государственном регулировании цен (тарифов).</w:t>
      </w:r>
    </w:p>
    <w:p w:rsidR="00081A58" w:rsidRDefault="00081A58" w:rsidP="00081A58">
      <w:pPr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</w:t>
      </w:r>
    </w:p>
    <w:p w:rsidR="00081A58" w:rsidRDefault="00081A58" w:rsidP="00081A58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081A58">
        <w:rPr>
          <w:rFonts w:ascii="Times New Roman" w:hAnsi="Times New Roman" w:cs="Times New Roman"/>
          <w:sz w:val="26"/>
          <w:szCs w:val="26"/>
        </w:rPr>
        <w:t>В случае установления двухкомпонентных тарифов на горячую воду размер платы за коммунальную услугу по горячему водоснабжению рассчитывается исходя из суммы стоимости компонента на холодную воду, предназначенную для подогрева в целях предоставления коммунальной услуги по горячему водоснабжению (или компонента на теплоноситель, являющегося составной частью тарифа на горячую воду в открытых системах теплоснабжения (горячего водоснабжения), и стоимости компонента на тепловую энергию, используемую на подогрев холодной воды в целях предоставления коммунальной услуги по горячему водоснабжению.</w:t>
      </w:r>
    </w:p>
    <w:p w:rsidR="00081A58" w:rsidRDefault="00081A58" w:rsidP="00081A58">
      <w:pPr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081A58" w:rsidRDefault="00081A58" w:rsidP="00081A58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42(1). Оплата коммунальной услуги по отоплению осуществляется одним из двух способов - в течение отопительного периода либо равномерно в течение календарного года.</w:t>
      </w:r>
    </w:p>
    <w:p w:rsidR="00081A58" w:rsidRDefault="00081A58" w:rsidP="00081A58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многоквартирном доме, который не оборудован коллективным (общедомовым) прибором учета тепловой энергии, и жилом доме, который не оборудован индивидуальным прибором учета тепловой энергии, размер платы за коммунальную услугу по отоплению определяется по </w:t>
      </w:r>
      <w:hyperlink r:id="rId4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формулам 2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5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2(1)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2(3)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7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2(4)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N 2 к настоящим Правилам исходя из норматива потребления коммунальной услуги по отоплению.</w:t>
      </w:r>
    </w:p>
    <w:p w:rsidR="00081A58" w:rsidRDefault="00081A58" w:rsidP="00081A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(в ред. </w:t>
      </w:r>
      <w:hyperlink r:id="rId8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Постановления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Правительства РФ от 28.12.2018 N 1708)</w:t>
      </w:r>
    </w:p>
    <w:p w:rsidR="002A604A" w:rsidRDefault="002A604A" w:rsidP="002A604A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604A" w:rsidRDefault="002A604A" w:rsidP="002A604A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Согласно Приказу </w:t>
      </w:r>
      <w:r w:rsidRPr="008375CF">
        <w:rPr>
          <w:rFonts w:ascii="Times New Roman" w:hAnsi="Times New Roman" w:cs="Times New Roman"/>
          <w:sz w:val="26"/>
          <w:szCs w:val="26"/>
        </w:rPr>
        <w:t>Департамента ЖКХ и ГЖН Томской области №</w:t>
      </w:r>
      <w:r>
        <w:rPr>
          <w:rFonts w:ascii="Times New Roman" w:hAnsi="Times New Roman" w:cs="Times New Roman"/>
          <w:sz w:val="26"/>
          <w:szCs w:val="26"/>
        </w:rPr>
        <w:t>55</w:t>
      </w:r>
      <w:r w:rsidRPr="008375CF">
        <w:rPr>
          <w:rFonts w:ascii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hAnsi="Times New Roman" w:cs="Times New Roman"/>
          <w:sz w:val="26"/>
          <w:szCs w:val="26"/>
        </w:rPr>
        <w:t>29</w:t>
      </w:r>
      <w:r w:rsidRPr="008375CF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12</w:t>
      </w:r>
      <w:r w:rsidRPr="008375CF">
        <w:rPr>
          <w:rFonts w:ascii="Times New Roman" w:hAnsi="Times New Roman" w:cs="Times New Roman"/>
          <w:sz w:val="26"/>
          <w:szCs w:val="26"/>
        </w:rPr>
        <w:t>.201</w:t>
      </w:r>
      <w:r>
        <w:rPr>
          <w:rFonts w:ascii="Times New Roman" w:hAnsi="Times New Roman" w:cs="Times New Roman"/>
          <w:sz w:val="26"/>
          <w:szCs w:val="26"/>
        </w:rPr>
        <w:t>4</w:t>
      </w:r>
      <w:r w:rsidRPr="008375CF">
        <w:rPr>
          <w:rFonts w:ascii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hAnsi="Times New Roman" w:cs="Times New Roman"/>
          <w:sz w:val="26"/>
          <w:szCs w:val="26"/>
        </w:rPr>
        <w:t xml:space="preserve"> «Об осуществлении потребителями оплаты коммунальной услуги на территории Томской области» на территории ЗАТО Северск, для домов не оборудованных общедомовыми приборами учета тепловой энергии установлен порядок оплаты коммунальной услуги отопление</w:t>
      </w:r>
      <w:r w:rsidRPr="00081A58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исходя из установленного норматива потребления коммунальной услуги по отоплению равномерно в течение каждого месяца года.</w:t>
      </w:r>
    </w:p>
    <w:p w:rsidR="002A604A" w:rsidRDefault="002A604A" w:rsidP="00081A5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081A58" w:rsidRDefault="00081A58" w:rsidP="00081A58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многоквартирном доме, который оборудован коллективным (общедомовым) прибором учета тепловой энергии и в котором ни одно жилое или нежилое помещение не оборудовано индивидуальным и (или) общим (квартирным) прибором учета тепловой энергии, размер платы за коммунальную услугу по отоплению определяется по </w:t>
      </w:r>
      <w:hyperlink r:id="rId9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формулам 3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и </w:t>
      </w:r>
      <w:hyperlink r:id="rId10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3(4)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приложения N 2 к настоящим Правилам на основании показаний коллективного (общедомового) прибора учета тепловой энергии.</w:t>
      </w:r>
    </w:p>
    <w:p w:rsidR="002A604A" w:rsidRDefault="002A604A" w:rsidP="00081A58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Для случаев не предоставления показаний общедомового прибора учета тепловой энергии:</w:t>
      </w:r>
    </w:p>
    <w:p w:rsidR="002A604A" w:rsidRDefault="002A604A" w:rsidP="00081A58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A604A" w:rsidRDefault="002A604A" w:rsidP="002A604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59(1). Плата за коммунальную услугу, предоставленную на общедомовые нужды за расчетный период, с учетом положений </w:t>
      </w:r>
      <w:hyperlink r:id="rId11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пункта 44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настоящих Правил, а также плата за коммунальную услугу отопления определяются исходя из рассчитанного среднемесячного объема потребления коммунального ресурса, определенного по показаниям коллективного (общедомового) прибора учета за период не менее 6 месяцев (для отопления - исходя из среднемесячного за отопительный период объема потребления), а если период работы прибора учета составил меньше 6 месяцев, - то за фактический период работы прибора учета, но не менее 3 месяцев (для отопления - не менее 3 месяцев отопительного периода) - начиная с даты, когда вышел из строя или был утрачен ранее введенный в эксплуатацию коллективный (общедомовый) прибор учета либо истек срок его эксплуатации, а если дату установить невозможно, - то начиная с расчетного периода, в котором наступили указанные события, до даты, когда был возобновлен учет коммунального ресурса путем введения в эксплуатацию соответствующего установленным требованиям коллективного (общедомового) прибора учета, но не более 3 расчетных периодов подряд.</w:t>
      </w:r>
    </w:p>
    <w:p w:rsidR="002A604A" w:rsidRPr="00081A58" w:rsidRDefault="002A604A" w:rsidP="00081A58">
      <w:pPr>
        <w:autoSpaceDE w:val="0"/>
        <w:autoSpaceDN w:val="0"/>
        <w:adjustRightInd w:val="0"/>
        <w:spacing w:before="260" w:after="0"/>
        <w:ind w:left="-567"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R="002A604A" w:rsidRPr="00081A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B4"/>
    <w:rsid w:val="00081A58"/>
    <w:rsid w:val="002A604A"/>
    <w:rsid w:val="00301FFD"/>
    <w:rsid w:val="004738B4"/>
    <w:rsid w:val="0048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D9E2E3-FA3E-4690-BD4E-C5246964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A0A2E56FB13AD1F7F3A2A2EAD94C684A1EC6913DDACE163CEAB15E5D26B73D3C2A633C901F22167CEAADEF91E84A8392363B2DD593C045J1iCD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5A0A2E56FB13AD1F7F3A2A2EAD94C684A1DCA9631DBCE163CEAB15E5D26B73D3C2A6339991A29402FA5ACB3D4BC59839136382FCAJ9i8D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5A0A2E56FB13AD1F7F3A2A2EAD94C684A1DCA9631DBCE163CEAB15E5D26B73D3C2A6339981B29402FA5ACB3D4BC59839136382FCAJ9i8D" TargetMode="External"/><Relationship Id="rId11" Type="http://schemas.openxmlformats.org/officeDocument/2006/relationships/hyperlink" Target="consultantplus://offline/ref=4CE8BF839475D1D70755AEE6EB49026F05A2693E2BA57E0845C7DBA9356D1CFCAF5F99502172B5BEE3A1AEEEAFC3A3BBB3FBFEC1MCp4D" TargetMode="External"/><Relationship Id="rId5" Type="http://schemas.openxmlformats.org/officeDocument/2006/relationships/hyperlink" Target="consultantplus://offline/ref=F5A0A2E56FB13AD1F7F3A2A2EAD94C684A1DCA9631DBCE163CEAB15E5D26B73D3C2A633F991B29402FA5ACB3D4BC59839136382FCAJ9i8D" TargetMode="External"/><Relationship Id="rId10" Type="http://schemas.openxmlformats.org/officeDocument/2006/relationships/hyperlink" Target="consultantplus://offline/ref=F5A0A2E56FB13AD1F7F3A2A2EAD94C684A1DCA9631DBCE163CEAB15E5D26B73D3C2A633E931B29402FA5ACB3D4BC59839136382FCAJ9i8D" TargetMode="External"/><Relationship Id="rId4" Type="http://schemas.openxmlformats.org/officeDocument/2006/relationships/hyperlink" Target="consultantplus://offline/ref=F5A0A2E56FB13AD1F7F3A2A2EAD94C684A1DCA9631DBCE163CEAB15E5D26B73D3C2A633F981729402FA5ACB3D4BC59839136382FCAJ9i8D" TargetMode="External"/><Relationship Id="rId9" Type="http://schemas.openxmlformats.org/officeDocument/2006/relationships/hyperlink" Target="consultantplus://offline/ref=F5A0A2E56FB13AD1F7F3A2A2EAD94C684A1DCA9631DBCE163CEAB15E5D26B73D3C2A6338921729402FA5ACB3D4BC59839136382FCAJ9i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Исправников Александр Николаевич</dc:creator>
  <cp:keywords/>
  <dc:description/>
  <cp:lastModifiedBy>User</cp:lastModifiedBy>
  <cp:revision>2</cp:revision>
  <dcterms:created xsi:type="dcterms:W3CDTF">2019-12-11T07:18:00Z</dcterms:created>
  <dcterms:modified xsi:type="dcterms:W3CDTF">2019-12-11T07:18:00Z</dcterms:modified>
</cp:coreProperties>
</file>