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622" w:rsidRPr="00267BDF" w:rsidRDefault="004A6622" w:rsidP="00267BDF">
      <w:pPr>
        <w:spacing w:after="0" w:line="240" w:lineRule="auto"/>
        <w:jc w:val="center"/>
        <w:rPr>
          <w:rFonts w:ascii="Times New Roman" w:eastAsia="Times New Roman" w:hAnsi="Times New Roman" w:cs="Times New Roman"/>
          <w:b/>
          <w:bCs/>
          <w:color w:val="000000" w:themeColor="text1"/>
          <w:sz w:val="26"/>
          <w:szCs w:val="26"/>
          <w:lang w:eastAsia="ru-RU"/>
        </w:rPr>
      </w:pPr>
      <w:r w:rsidRPr="00267BDF">
        <w:rPr>
          <w:rFonts w:ascii="Times New Roman" w:eastAsia="Times New Roman" w:hAnsi="Times New Roman" w:cs="Times New Roman"/>
          <w:b/>
          <w:bCs/>
          <w:color w:val="000000" w:themeColor="text1"/>
          <w:sz w:val="26"/>
          <w:szCs w:val="26"/>
          <w:lang w:eastAsia="ru-RU"/>
        </w:rPr>
        <w:t>Параметры качества коммунальных услуг</w:t>
      </w:r>
    </w:p>
    <w:p w:rsidR="004A6622" w:rsidRPr="00267BDF" w:rsidRDefault="004A6622" w:rsidP="00267BDF">
      <w:pPr>
        <w:spacing w:after="0" w:line="240" w:lineRule="auto"/>
        <w:jc w:val="both"/>
        <w:rPr>
          <w:rFonts w:ascii="Times New Roman" w:eastAsia="Times New Roman" w:hAnsi="Times New Roman" w:cs="Times New Roman"/>
          <w:color w:val="000000" w:themeColor="text1"/>
          <w:sz w:val="26"/>
          <w:szCs w:val="26"/>
          <w:lang w:eastAsia="ru-RU"/>
        </w:rPr>
      </w:pPr>
      <w:bookmarkStart w:id="0" w:name="_GoBack"/>
      <w:bookmarkEnd w:id="0"/>
    </w:p>
    <w:p w:rsidR="00481267" w:rsidRPr="00267BDF" w:rsidRDefault="004A6622" w:rsidP="00267BDF">
      <w:pPr>
        <w:spacing w:after="0" w:line="240" w:lineRule="auto"/>
        <w:jc w:val="both"/>
        <w:rPr>
          <w:rFonts w:ascii="Times New Roman" w:eastAsia="Times New Roman" w:hAnsi="Times New Roman" w:cs="Times New Roman"/>
          <w:color w:val="000000" w:themeColor="text1"/>
          <w:sz w:val="26"/>
          <w:szCs w:val="26"/>
          <w:lang w:eastAsia="ru-RU"/>
        </w:rPr>
      </w:pPr>
      <w:r w:rsidRPr="00267BDF">
        <w:rPr>
          <w:rFonts w:ascii="Times New Roman" w:eastAsia="Times New Roman" w:hAnsi="Times New Roman" w:cs="Times New Roman"/>
          <w:color w:val="000000" w:themeColor="text1"/>
          <w:sz w:val="26"/>
          <w:szCs w:val="26"/>
          <w:lang w:eastAsia="ru-RU"/>
        </w:rPr>
        <w:t>Требования к качеству коммунальных услуг, допустимые отклонения параметров коммунального ресурса, а так же порядок определения стоимости коммунальных услуг, при оказании услуг не надлежащего качества, установлены Приложением №1 Правил №354:</w:t>
      </w:r>
    </w:p>
    <w:p w:rsidR="004A6622" w:rsidRPr="00267BDF" w:rsidRDefault="004A6622" w:rsidP="00267BDF">
      <w:pPr>
        <w:spacing w:after="0" w:line="240" w:lineRule="auto"/>
        <w:jc w:val="both"/>
        <w:rPr>
          <w:rFonts w:ascii="Times New Roman" w:eastAsia="Times New Roman" w:hAnsi="Times New Roman" w:cs="Times New Roman"/>
          <w:color w:val="000000" w:themeColor="text1"/>
          <w:sz w:val="26"/>
          <w:szCs w:val="26"/>
          <w:lang w:eastAsia="ru-RU"/>
        </w:rPr>
      </w:pPr>
    </w:p>
    <w:tbl>
      <w:tblPr>
        <w:tblW w:w="9867" w:type="dxa"/>
        <w:tblLayout w:type="fixed"/>
        <w:tblCellMar>
          <w:top w:w="102" w:type="dxa"/>
          <w:left w:w="62" w:type="dxa"/>
          <w:bottom w:w="102" w:type="dxa"/>
          <w:right w:w="62" w:type="dxa"/>
        </w:tblCellMar>
        <w:tblLook w:val="0000" w:firstRow="0" w:lastRow="0" w:firstColumn="0" w:lastColumn="0" w:noHBand="0" w:noVBand="0"/>
      </w:tblPr>
      <w:tblGrid>
        <w:gridCol w:w="62"/>
        <w:gridCol w:w="2462"/>
        <w:gridCol w:w="62"/>
        <w:gridCol w:w="3032"/>
        <w:gridCol w:w="62"/>
        <w:gridCol w:w="4125"/>
        <w:gridCol w:w="62"/>
      </w:tblGrid>
      <w:tr w:rsidR="004A6622" w:rsidTr="004A6622">
        <w:trPr>
          <w:gridAfter w:val="1"/>
          <w:wAfter w:w="62" w:type="dxa"/>
        </w:trPr>
        <w:tc>
          <w:tcPr>
            <w:tcW w:w="9805" w:type="dxa"/>
            <w:gridSpan w:val="6"/>
            <w:tcBorders>
              <w:top w:val="single" w:sz="4" w:space="0" w:color="auto"/>
              <w:right w:val="single" w:sz="4" w:space="0" w:color="auto"/>
            </w:tcBorders>
          </w:tcPr>
          <w:p w:rsidR="004A6622" w:rsidRDefault="004A6622" w:rsidP="004A662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VI. Отопление </w:t>
            </w:r>
          </w:p>
        </w:tc>
      </w:tr>
      <w:tr w:rsidR="004A6622" w:rsidTr="004A6622">
        <w:trPr>
          <w:gridAfter w:val="1"/>
          <w:wAfter w:w="62" w:type="dxa"/>
        </w:trPr>
        <w:tc>
          <w:tcPr>
            <w:tcW w:w="2524" w:type="dxa"/>
            <w:gridSpan w:val="2"/>
          </w:tcPr>
          <w:p w:rsidR="004A6622" w:rsidRDefault="004A6622" w:rsidP="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Бесперебойное круглосуточное отопление в течение отопительного периода </w:t>
            </w:r>
          </w:p>
        </w:tc>
        <w:tc>
          <w:tcPr>
            <w:tcW w:w="309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допустимая продолжительность перерыва отопления:</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более 24 часов (суммарно) в течение 1 месяца;</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не более 16 часов единовременно - при температуре воздуха в жилых помещениях от +12 °C до нормативной температуры, указанной в </w:t>
            </w:r>
            <w:hyperlink w:anchor="Par9" w:history="1">
              <w:r>
                <w:rPr>
                  <w:rFonts w:ascii="Times New Roman" w:hAnsi="Times New Roman" w:cs="Times New Roman"/>
                  <w:color w:val="0000FF"/>
                  <w:sz w:val="20"/>
                  <w:szCs w:val="20"/>
                </w:rPr>
                <w:t>пункте 15</w:t>
              </w:r>
            </w:hyperlink>
            <w:r>
              <w:rPr>
                <w:rFonts w:ascii="Times New Roman" w:hAnsi="Times New Roman" w:cs="Times New Roman"/>
                <w:sz w:val="20"/>
                <w:szCs w:val="20"/>
              </w:rPr>
              <w:t xml:space="preserve"> настоящего приложения;</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более 8 часов единовременно - при температуре воздуха в жилых помещениях от +10 °C до +12 °C;</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более 4 часов единовременно - при температуре воздуха в жилых помещениях от +8 °C до +10 °C</w:t>
            </w:r>
          </w:p>
        </w:tc>
        <w:tc>
          <w:tcPr>
            <w:tcW w:w="4187"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с учетом положений </w:t>
            </w:r>
            <w:hyperlink r:id="rId5" w:history="1">
              <w:r>
                <w:rPr>
                  <w:rFonts w:ascii="Times New Roman" w:hAnsi="Times New Roman" w:cs="Times New Roman"/>
                  <w:color w:val="0000FF"/>
                  <w:sz w:val="20"/>
                  <w:szCs w:val="20"/>
                </w:rPr>
                <w:t>раздела IX</w:t>
              </w:r>
            </w:hyperlink>
            <w:r>
              <w:rPr>
                <w:rFonts w:ascii="Times New Roman" w:hAnsi="Times New Roman" w:cs="Times New Roman"/>
                <w:sz w:val="20"/>
                <w:szCs w:val="20"/>
              </w:rPr>
              <w:t xml:space="preserve"> Правил</w:t>
            </w:r>
          </w:p>
        </w:tc>
      </w:tr>
      <w:tr w:rsidR="004A6622" w:rsidTr="004A6622">
        <w:trPr>
          <w:gridAfter w:val="1"/>
          <w:wAfter w:w="62" w:type="dxa"/>
        </w:trPr>
        <w:tc>
          <w:tcPr>
            <w:tcW w:w="252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bookmarkStart w:id="1" w:name="Par9"/>
            <w:bookmarkEnd w:id="1"/>
            <w:r>
              <w:rPr>
                <w:rFonts w:ascii="Times New Roman" w:hAnsi="Times New Roman" w:cs="Times New Roman"/>
                <w:sz w:val="20"/>
                <w:szCs w:val="20"/>
              </w:rPr>
              <w:t>15. Обеспечение нормативной температуры воздуха:</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других помещениях в соответствии с требованиями законодательства Российской Федерации о техническом регулировании </w:t>
            </w:r>
            <w:hyperlink r:id="rId6" w:history="1">
              <w:r>
                <w:rPr>
                  <w:rFonts w:ascii="Times New Roman" w:hAnsi="Times New Roman" w:cs="Times New Roman"/>
                  <w:color w:val="0000FF"/>
                  <w:sz w:val="20"/>
                  <w:szCs w:val="20"/>
                </w:rPr>
                <w:t>(ГОСТ Р 51617-2000)</w:t>
              </w:r>
            </w:hyperlink>
          </w:p>
        </w:tc>
        <w:tc>
          <w:tcPr>
            <w:tcW w:w="309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допустимое превышение нормативной температуры - не более 4 °C;</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допустимое снижение нормативной температуры в ночное время суток (от 0.00 до 5.00 часов) - не более 3 °C;</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снижение температуры воздуха в жилом помещении в дневное время (от 5.00 до 0.00 часов) не допускается</w:t>
            </w:r>
          </w:p>
        </w:tc>
        <w:tc>
          <w:tcPr>
            <w:tcW w:w="4187"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7"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за каждый градус отклонения температуры, с учетом положений </w:t>
            </w:r>
            <w:hyperlink r:id="rId8" w:history="1">
              <w:r>
                <w:rPr>
                  <w:rFonts w:ascii="Times New Roman" w:hAnsi="Times New Roman" w:cs="Times New Roman"/>
                  <w:color w:val="0000FF"/>
                  <w:sz w:val="20"/>
                  <w:szCs w:val="20"/>
                </w:rPr>
                <w:t>раздела IX</w:t>
              </w:r>
            </w:hyperlink>
            <w:r>
              <w:rPr>
                <w:rFonts w:ascii="Times New Roman" w:hAnsi="Times New Roman" w:cs="Times New Roman"/>
                <w:sz w:val="20"/>
                <w:szCs w:val="20"/>
              </w:rPr>
              <w:t xml:space="preserve"> Правил</w:t>
            </w:r>
          </w:p>
        </w:tc>
      </w:tr>
      <w:tr w:rsidR="004A6622" w:rsidTr="004A6622">
        <w:trPr>
          <w:gridAfter w:val="1"/>
          <w:wAfter w:w="62" w:type="dxa"/>
        </w:trPr>
        <w:tc>
          <w:tcPr>
            <w:tcW w:w="2524" w:type="dxa"/>
            <w:gridSpan w:val="2"/>
          </w:tcPr>
          <w:p w:rsidR="004A6622" w:rsidRDefault="004A662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Давление во внутридомовой системе отопления:</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 чугунными радиаторами - не более 0,6 МПа (6 кгс/кв. см);</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 системами </w:t>
            </w:r>
            <w:proofErr w:type="spellStart"/>
            <w:r>
              <w:rPr>
                <w:rFonts w:ascii="Times New Roman" w:hAnsi="Times New Roman" w:cs="Times New Roman"/>
                <w:sz w:val="20"/>
                <w:szCs w:val="20"/>
              </w:rPr>
              <w:t>конвекторного</w:t>
            </w:r>
            <w:proofErr w:type="spellEnd"/>
            <w:r>
              <w:rPr>
                <w:rFonts w:ascii="Times New Roman" w:hAnsi="Times New Roman" w:cs="Times New Roman"/>
                <w:sz w:val="20"/>
                <w:szCs w:val="20"/>
              </w:rPr>
              <w:t xml:space="preserve"> и панельного отопления, калориферами, а также прочими отопительными приборами - не более 1 </w:t>
            </w:r>
            <w:r>
              <w:rPr>
                <w:rFonts w:ascii="Times New Roman" w:hAnsi="Times New Roman" w:cs="Times New Roman"/>
                <w:sz w:val="20"/>
                <w:szCs w:val="20"/>
              </w:rPr>
              <w:lastRenderedPageBreak/>
              <w:t>МПа (10 кгс/кв. см);</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gridSpan w:val="2"/>
          </w:tcPr>
          <w:p w:rsidR="004A6622" w:rsidRDefault="004A662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отклонение давления во внутридомовой системе отопления от установленных значений не допускается</w:t>
            </w:r>
          </w:p>
        </w:tc>
        <w:tc>
          <w:tcPr>
            <w:tcW w:w="4187" w:type="dxa"/>
            <w:gridSpan w:val="2"/>
          </w:tcPr>
          <w:p w:rsidR="004A6622" w:rsidRDefault="004A662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9"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снижается на размер платы, исчисленный суммарно за каждый день предоставления </w:t>
            </w:r>
            <w:r>
              <w:rPr>
                <w:rFonts w:ascii="Times New Roman" w:hAnsi="Times New Roman" w:cs="Times New Roman"/>
                <w:sz w:val="20"/>
                <w:szCs w:val="20"/>
              </w:rPr>
              <w:lastRenderedPageBreak/>
              <w:t xml:space="preserve">коммунальной услуги ненадлежащего качества (независимо от показаний приборов учета) в соответствии с </w:t>
            </w:r>
            <w:hyperlink r:id="rId10" w:history="1">
              <w:r>
                <w:rPr>
                  <w:rFonts w:ascii="Times New Roman" w:hAnsi="Times New Roman" w:cs="Times New Roman"/>
                  <w:color w:val="0000FF"/>
                  <w:sz w:val="20"/>
                  <w:szCs w:val="20"/>
                </w:rPr>
                <w:t>пунктом 101</w:t>
              </w:r>
            </w:hyperlink>
            <w:r>
              <w:rPr>
                <w:rFonts w:ascii="Times New Roman" w:hAnsi="Times New Roman" w:cs="Times New Roman"/>
                <w:sz w:val="20"/>
                <w:szCs w:val="20"/>
              </w:rPr>
              <w:t xml:space="preserve"> Правил</w:t>
            </w:r>
          </w:p>
        </w:tc>
      </w:tr>
      <w:tr w:rsidR="004A6622" w:rsidTr="004A6622">
        <w:trPr>
          <w:gridAfter w:val="1"/>
          <w:wAfter w:w="62" w:type="dxa"/>
        </w:trPr>
        <w:tc>
          <w:tcPr>
            <w:tcW w:w="9805" w:type="dxa"/>
            <w:gridSpan w:val="6"/>
            <w:tcBorders>
              <w:bottom w:val="single" w:sz="4" w:space="0" w:color="auto"/>
            </w:tcBorders>
          </w:tcPr>
          <w:p w:rsidR="004A6622" w:rsidRDefault="004A6622">
            <w:pPr>
              <w:autoSpaceDE w:val="0"/>
              <w:autoSpaceDN w:val="0"/>
              <w:adjustRightInd w:val="0"/>
              <w:spacing w:after="0" w:line="240" w:lineRule="auto"/>
              <w:jc w:val="center"/>
              <w:outlineLvl w:val="0"/>
              <w:rPr>
                <w:rFonts w:ascii="Times New Roman" w:hAnsi="Times New Roman" w:cs="Times New Roman"/>
                <w:sz w:val="20"/>
                <w:szCs w:val="20"/>
              </w:rPr>
            </w:pPr>
          </w:p>
        </w:tc>
      </w:tr>
      <w:tr w:rsidR="004A6622" w:rsidTr="004A6622">
        <w:trPr>
          <w:gridBefore w:val="1"/>
          <w:wBefore w:w="62" w:type="dxa"/>
        </w:trPr>
        <w:tc>
          <w:tcPr>
            <w:tcW w:w="9805" w:type="dxa"/>
            <w:gridSpan w:val="6"/>
            <w:tcBorders>
              <w:top w:val="single" w:sz="4" w:space="0" w:color="auto"/>
              <w:right w:val="single" w:sz="4" w:space="0" w:color="auto"/>
            </w:tcBorders>
          </w:tcPr>
          <w:p w:rsidR="004A6622" w:rsidRDefault="004A662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 Горячее водоснабжение</w:t>
            </w:r>
          </w:p>
        </w:tc>
      </w:tr>
      <w:tr w:rsidR="004A6622" w:rsidTr="004A6622">
        <w:trPr>
          <w:gridBefore w:val="1"/>
          <w:wBefore w:w="62" w:type="dxa"/>
        </w:trPr>
        <w:tc>
          <w:tcPr>
            <w:tcW w:w="252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Бесперебойное круглосуточное горячее водоснабжение в течение года</w:t>
            </w:r>
          </w:p>
        </w:tc>
        <w:tc>
          <w:tcPr>
            <w:tcW w:w="309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допустимая продолжительность перерыва подачи горячей воды:</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 часов (суммарно) в течение 1 месяца, 4 часа единовременно, при аварии на тупиковой магистрали - 24 часа подряд;</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1" w:history="1">
              <w:r>
                <w:rPr>
                  <w:rFonts w:ascii="Times New Roman" w:hAnsi="Times New Roman" w:cs="Times New Roman"/>
                  <w:color w:val="0000FF"/>
                  <w:sz w:val="20"/>
                  <w:szCs w:val="20"/>
                </w:rPr>
                <w:t>(СанПиН 2.1.4.2496-09)</w:t>
              </w:r>
            </w:hyperlink>
          </w:p>
        </w:tc>
        <w:tc>
          <w:tcPr>
            <w:tcW w:w="4187"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2"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с учетом положений </w:t>
            </w:r>
            <w:hyperlink r:id="rId13" w:history="1">
              <w:r>
                <w:rPr>
                  <w:rFonts w:ascii="Times New Roman" w:hAnsi="Times New Roman" w:cs="Times New Roman"/>
                  <w:color w:val="0000FF"/>
                  <w:sz w:val="20"/>
                  <w:szCs w:val="20"/>
                </w:rPr>
                <w:t>раздела IX</w:t>
              </w:r>
            </w:hyperlink>
            <w:r>
              <w:rPr>
                <w:rFonts w:ascii="Times New Roman" w:hAnsi="Times New Roman" w:cs="Times New Roman"/>
                <w:sz w:val="20"/>
                <w:szCs w:val="20"/>
              </w:rPr>
              <w:t xml:space="preserve"> Правил</w:t>
            </w:r>
          </w:p>
        </w:tc>
      </w:tr>
      <w:tr w:rsidR="004A6622" w:rsidTr="004A6622">
        <w:trPr>
          <w:gridBefore w:val="1"/>
          <w:wBefore w:w="62" w:type="dxa"/>
        </w:trPr>
        <w:tc>
          <w:tcPr>
            <w:tcW w:w="9805" w:type="dxa"/>
            <w:gridSpan w:val="6"/>
            <w:tcBorders>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621"/>
            </w:tblGrid>
            <w:tr w:rsidR="004A6622">
              <w:trPr>
                <w:jc w:val="center"/>
              </w:trPr>
              <w:tc>
                <w:tcPr>
                  <w:tcW w:w="5000" w:type="pct"/>
                  <w:tcBorders>
                    <w:top w:val="nil"/>
                    <w:left w:val="single" w:sz="24" w:space="0" w:color="CED3F1"/>
                    <w:bottom w:val="nil"/>
                    <w:right w:val="single" w:sz="24" w:space="0" w:color="F4F3F8"/>
                  </w:tcBorders>
                  <w:shd w:val="clear" w:color="auto" w:fill="F4F3F8"/>
                </w:tcPr>
                <w:p w:rsidR="004A6622" w:rsidRDefault="004A6622">
                  <w:pPr>
                    <w:autoSpaceDE w:val="0"/>
                    <w:autoSpaceDN w:val="0"/>
                    <w:adjustRightInd w:val="0"/>
                    <w:spacing w:after="0" w:line="240" w:lineRule="auto"/>
                    <w:jc w:val="both"/>
                    <w:rPr>
                      <w:rFonts w:ascii="Times New Roman" w:hAnsi="Times New Roman" w:cs="Times New Roman"/>
                      <w:color w:val="392C69"/>
                      <w:sz w:val="20"/>
                      <w:szCs w:val="20"/>
                    </w:rPr>
                  </w:pPr>
                  <w:r>
                    <w:rPr>
                      <w:rFonts w:ascii="Times New Roman" w:hAnsi="Times New Roman" w:cs="Times New Roman"/>
                      <w:color w:val="392C69"/>
                      <w:sz w:val="20"/>
                      <w:szCs w:val="20"/>
                    </w:rPr>
                    <w:t>Консультант Плюс: примечание.</w:t>
                  </w:r>
                </w:p>
                <w:p w:rsidR="004A6622" w:rsidRDefault="00267BDF">
                  <w:pPr>
                    <w:autoSpaceDE w:val="0"/>
                    <w:autoSpaceDN w:val="0"/>
                    <w:adjustRightInd w:val="0"/>
                    <w:spacing w:after="0" w:line="240" w:lineRule="auto"/>
                    <w:jc w:val="both"/>
                    <w:rPr>
                      <w:rFonts w:ascii="Times New Roman" w:hAnsi="Times New Roman" w:cs="Times New Roman"/>
                      <w:color w:val="392C69"/>
                      <w:sz w:val="20"/>
                      <w:szCs w:val="20"/>
                    </w:rPr>
                  </w:pPr>
                  <w:hyperlink r:id="rId14" w:history="1">
                    <w:r w:rsidR="004A6622">
                      <w:rPr>
                        <w:rFonts w:ascii="Times New Roman" w:hAnsi="Times New Roman" w:cs="Times New Roman"/>
                        <w:color w:val="0000FF"/>
                        <w:sz w:val="20"/>
                        <w:szCs w:val="20"/>
                      </w:rPr>
                      <w:t>Решением</w:t>
                    </w:r>
                  </w:hyperlink>
                  <w:r w:rsidR="004A6622">
                    <w:rPr>
                      <w:rFonts w:ascii="Times New Roman" w:hAnsi="Times New Roman" w:cs="Times New Roman"/>
                      <w:color w:val="392C69"/>
                      <w:sz w:val="20"/>
                      <w:szCs w:val="20"/>
                    </w:rPr>
                    <w:t xml:space="preserve"> Верховного Суда РФ от 31.05.2013 N АКПИ13-394 пункт 5 приложения</w:t>
                  </w:r>
                </w:p>
                <w:p w:rsidR="004A6622" w:rsidRDefault="004A6622">
                  <w:pPr>
                    <w:autoSpaceDE w:val="0"/>
                    <w:autoSpaceDN w:val="0"/>
                    <w:adjustRightInd w:val="0"/>
                    <w:spacing w:after="0" w:line="240" w:lineRule="auto"/>
                    <w:jc w:val="both"/>
                    <w:rPr>
                      <w:rFonts w:ascii="Times New Roman" w:hAnsi="Times New Roman" w:cs="Times New Roman"/>
                      <w:color w:val="392C69"/>
                      <w:sz w:val="20"/>
                      <w:szCs w:val="20"/>
                    </w:rPr>
                  </w:pPr>
                  <w:r>
                    <w:rPr>
                      <w:rFonts w:ascii="Times New Roman" w:hAnsi="Times New Roman" w:cs="Times New Roman"/>
                      <w:color w:val="392C69"/>
                      <w:sz w:val="20"/>
                      <w:szCs w:val="20"/>
                    </w:rPr>
                    <w:t>N 1 признан недействующим в той мере, в которой данная норма допускает ее</w:t>
                  </w:r>
                </w:p>
                <w:p w:rsidR="004A6622" w:rsidRDefault="004A6622">
                  <w:pPr>
                    <w:autoSpaceDE w:val="0"/>
                    <w:autoSpaceDN w:val="0"/>
                    <w:adjustRightInd w:val="0"/>
                    <w:spacing w:after="0" w:line="240" w:lineRule="auto"/>
                    <w:jc w:val="both"/>
                    <w:rPr>
                      <w:rFonts w:ascii="Times New Roman" w:hAnsi="Times New Roman" w:cs="Times New Roman"/>
                      <w:color w:val="392C69"/>
                      <w:sz w:val="20"/>
                      <w:szCs w:val="20"/>
                    </w:rPr>
                  </w:pPr>
                  <w:r>
                    <w:rPr>
                      <w:rFonts w:ascii="Times New Roman" w:hAnsi="Times New Roman" w:cs="Times New Roman"/>
                      <w:color w:val="392C69"/>
                      <w:sz w:val="20"/>
                      <w:szCs w:val="20"/>
                    </w:rPr>
                    <w:t>применение в случаях, не связанных с условиями и порядком изменения размера</w:t>
                  </w:r>
                </w:p>
                <w:p w:rsidR="004A6622" w:rsidRDefault="004A6622">
                  <w:pPr>
                    <w:autoSpaceDE w:val="0"/>
                    <w:autoSpaceDN w:val="0"/>
                    <w:adjustRightInd w:val="0"/>
                    <w:spacing w:after="0" w:line="240" w:lineRule="auto"/>
                    <w:jc w:val="both"/>
                    <w:rPr>
                      <w:rFonts w:ascii="Times New Roman" w:hAnsi="Times New Roman" w:cs="Times New Roman"/>
                      <w:color w:val="392C69"/>
                      <w:sz w:val="20"/>
                      <w:szCs w:val="20"/>
                    </w:rPr>
                  </w:pPr>
                  <w:r>
                    <w:rPr>
                      <w:rFonts w:ascii="Times New Roman" w:hAnsi="Times New Roman" w:cs="Times New Roman"/>
                      <w:color w:val="392C69"/>
                      <w:sz w:val="20"/>
                      <w:szCs w:val="20"/>
                    </w:rPr>
                    <w:t>платы за коммунальную услугу при предоставлении коммунальной услуги</w:t>
                  </w:r>
                </w:p>
                <w:p w:rsidR="004A6622" w:rsidRDefault="004A6622">
                  <w:pPr>
                    <w:autoSpaceDE w:val="0"/>
                    <w:autoSpaceDN w:val="0"/>
                    <w:adjustRightInd w:val="0"/>
                    <w:spacing w:after="0" w:line="240" w:lineRule="auto"/>
                    <w:jc w:val="both"/>
                    <w:rPr>
                      <w:rFonts w:ascii="Times New Roman" w:hAnsi="Times New Roman" w:cs="Times New Roman"/>
                      <w:color w:val="392C69"/>
                      <w:sz w:val="20"/>
                      <w:szCs w:val="20"/>
                    </w:rPr>
                  </w:pPr>
                  <w:r>
                    <w:rPr>
                      <w:rFonts w:ascii="Times New Roman" w:hAnsi="Times New Roman" w:cs="Times New Roman"/>
                      <w:color w:val="392C69"/>
                      <w:sz w:val="20"/>
                      <w:szCs w:val="20"/>
                    </w:rPr>
                    <w:t>ненадлежащего качества.</w:t>
                  </w:r>
                </w:p>
              </w:tc>
            </w:tr>
          </w:tbl>
          <w:p w:rsidR="004A6622" w:rsidRDefault="004A6622">
            <w:pPr>
              <w:autoSpaceDE w:val="0"/>
              <w:autoSpaceDN w:val="0"/>
              <w:adjustRightInd w:val="0"/>
              <w:spacing w:after="0" w:line="240" w:lineRule="auto"/>
              <w:jc w:val="both"/>
              <w:rPr>
                <w:rFonts w:ascii="Times New Roman" w:hAnsi="Times New Roman" w:cs="Times New Roman"/>
                <w:color w:val="392C69"/>
                <w:sz w:val="20"/>
                <w:szCs w:val="20"/>
              </w:rPr>
            </w:pPr>
          </w:p>
        </w:tc>
      </w:tr>
      <w:tr w:rsidR="004A6622" w:rsidTr="004A6622">
        <w:trPr>
          <w:gridBefore w:val="1"/>
          <w:wBefore w:w="62" w:type="dxa"/>
        </w:trPr>
        <w:tc>
          <w:tcPr>
            <w:tcW w:w="2524" w:type="dxa"/>
            <w:gridSpan w:val="2"/>
          </w:tcPr>
          <w:p w:rsidR="004A6622" w:rsidRDefault="004A6622" w:rsidP="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Обеспечение соответствия температуры горячей воды в точке водоразбора требованиям </w:t>
            </w:r>
            <w:hyperlink r:id="rId15" w:history="1">
              <w:r>
                <w:rPr>
                  <w:rFonts w:ascii="Times New Roman" w:hAnsi="Times New Roman" w:cs="Times New Roman"/>
                  <w:color w:val="0000FF"/>
                  <w:sz w:val="20"/>
                  <w:szCs w:val="20"/>
                </w:rPr>
                <w:t>законодательства</w:t>
              </w:r>
            </w:hyperlink>
            <w:r>
              <w:rPr>
                <w:rFonts w:ascii="Times New Roman" w:hAnsi="Times New Roman" w:cs="Times New Roman"/>
                <w:sz w:val="20"/>
                <w:szCs w:val="20"/>
              </w:rPr>
              <w:t xml:space="preserve"> Российской Федерации о техническом регулировании </w:t>
            </w:r>
            <w:hyperlink r:id="rId16" w:history="1">
              <w:r>
                <w:rPr>
                  <w:rFonts w:ascii="Times New Roman" w:hAnsi="Times New Roman" w:cs="Times New Roman"/>
                  <w:color w:val="0000FF"/>
                  <w:sz w:val="20"/>
                  <w:szCs w:val="20"/>
                </w:rPr>
                <w:t>(СанПиН 2.1.4.2496-09)</w:t>
              </w:r>
            </w:hyperlink>
            <w:r>
              <w:rPr>
                <w:rFonts w:ascii="Times New Roman" w:hAnsi="Times New Roman" w:cs="Times New Roman"/>
                <w:sz w:val="20"/>
                <w:szCs w:val="20"/>
              </w:rPr>
              <w:t xml:space="preserve"> </w:t>
            </w:r>
          </w:p>
        </w:tc>
        <w:tc>
          <w:tcPr>
            <w:tcW w:w="309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ночное время (с 0.00 до 5.00 часов) - не более чем на 5 °C;</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дневное время (с 5.00 до 00.00 часов) - не более чем на 3 °C</w:t>
            </w:r>
          </w:p>
        </w:tc>
        <w:tc>
          <w:tcPr>
            <w:tcW w:w="4187"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17"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за каждый час отступления от допустимых отклонений суммарно в течение расчетного периода с учетом положений </w:t>
            </w:r>
            <w:hyperlink r:id="rId18" w:history="1">
              <w:r>
                <w:rPr>
                  <w:rFonts w:ascii="Times New Roman" w:hAnsi="Times New Roman" w:cs="Times New Roman"/>
                  <w:color w:val="0000FF"/>
                  <w:sz w:val="20"/>
                  <w:szCs w:val="20"/>
                </w:rPr>
                <w:t>раздела IX</w:t>
              </w:r>
            </w:hyperlink>
            <w:r>
              <w:rPr>
                <w:rFonts w:ascii="Times New Roman" w:hAnsi="Times New Roman" w:cs="Times New Roman"/>
                <w:sz w:val="20"/>
                <w:szCs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A6622" w:rsidTr="004A6622">
        <w:trPr>
          <w:gridBefore w:val="1"/>
          <w:wBefore w:w="62" w:type="dxa"/>
        </w:trPr>
        <w:tc>
          <w:tcPr>
            <w:tcW w:w="252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Постоянное соответствие состава и свойств горячей воды требованиям </w:t>
            </w:r>
            <w:hyperlink r:id="rId19" w:history="1">
              <w:r>
                <w:rPr>
                  <w:rFonts w:ascii="Times New Roman" w:hAnsi="Times New Roman" w:cs="Times New Roman"/>
                  <w:color w:val="0000FF"/>
                  <w:sz w:val="20"/>
                  <w:szCs w:val="20"/>
                </w:rPr>
                <w:t>законодательства</w:t>
              </w:r>
            </w:hyperlink>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Российской Федерации о техническом регулировании </w:t>
            </w:r>
            <w:hyperlink r:id="rId20" w:history="1">
              <w:r>
                <w:rPr>
                  <w:rFonts w:ascii="Times New Roman" w:hAnsi="Times New Roman" w:cs="Times New Roman"/>
                  <w:color w:val="0000FF"/>
                  <w:sz w:val="20"/>
                  <w:szCs w:val="20"/>
                </w:rPr>
                <w:t>(СанПиН 2.1.4.2496-09)</w:t>
              </w:r>
            </w:hyperlink>
          </w:p>
        </w:tc>
        <w:tc>
          <w:tcPr>
            <w:tcW w:w="3094"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отклонение состава и свойств горячей воды от требований законодательства Российской Федерации о техническом </w:t>
            </w:r>
            <w:r>
              <w:rPr>
                <w:rFonts w:ascii="Times New Roman" w:hAnsi="Times New Roman" w:cs="Times New Roman"/>
                <w:sz w:val="20"/>
                <w:szCs w:val="20"/>
              </w:rPr>
              <w:lastRenderedPageBreak/>
              <w:t>регулировании не допускается</w:t>
            </w:r>
          </w:p>
        </w:tc>
        <w:tc>
          <w:tcPr>
            <w:tcW w:w="4187" w:type="dxa"/>
            <w:gridSpan w:val="2"/>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w:t>
            </w:r>
            <w:r>
              <w:rPr>
                <w:rFonts w:ascii="Times New Roman" w:hAnsi="Times New Roman" w:cs="Times New Roman"/>
                <w:sz w:val="20"/>
                <w:szCs w:val="20"/>
              </w:rPr>
              <w:lastRenderedPageBreak/>
              <w:t xml:space="preserve">услугу, определенный за расчетный период в соответствии с </w:t>
            </w:r>
            <w:hyperlink r:id="rId21"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2" w:history="1">
              <w:r>
                <w:rPr>
                  <w:rFonts w:ascii="Times New Roman" w:hAnsi="Times New Roman" w:cs="Times New Roman"/>
                  <w:color w:val="0000FF"/>
                  <w:sz w:val="20"/>
                  <w:szCs w:val="20"/>
                </w:rPr>
                <w:t>пунктом 101</w:t>
              </w:r>
            </w:hyperlink>
            <w:r>
              <w:rPr>
                <w:rFonts w:ascii="Times New Roman" w:hAnsi="Times New Roman" w:cs="Times New Roman"/>
                <w:sz w:val="20"/>
                <w:szCs w:val="20"/>
              </w:rPr>
              <w:t xml:space="preserve"> Правил</w:t>
            </w:r>
          </w:p>
        </w:tc>
      </w:tr>
      <w:tr w:rsidR="004A6622" w:rsidTr="004A6622">
        <w:trPr>
          <w:gridBefore w:val="1"/>
          <w:wBefore w:w="62" w:type="dxa"/>
        </w:trPr>
        <w:tc>
          <w:tcPr>
            <w:tcW w:w="2524" w:type="dxa"/>
            <w:gridSpan w:val="2"/>
            <w:tcBorders>
              <w:bottom w:val="single" w:sz="4" w:space="0" w:color="auto"/>
            </w:tcBorders>
          </w:tcPr>
          <w:p w:rsidR="004A6622" w:rsidRDefault="004A6622" w:rsidP="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7. Давление в системе горячего водоснабжения в точке разбора - от 0,03 МПа (0,3 кгс/кв. см) до 0,45 МПа (4,5 кгс/кв. см) </w:t>
            </w:r>
          </w:p>
        </w:tc>
        <w:tc>
          <w:tcPr>
            <w:tcW w:w="3094" w:type="dxa"/>
            <w:gridSpan w:val="2"/>
            <w:tcBorders>
              <w:bottom w:val="single" w:sz="4" w:space="0" w:color="auto"/>
            </w:tcBorders>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отклонение давления в системе горячего водоснабжения не допускается</w:t>
            </w:r>
          </w:p>
        </w:tc>
        <w:tc>
          <w:tcPr>
            <w:tcW w:w="4187" w:type="dxa"/>
            <w:gridSpan w:val="2"/>
            <w:tcBorders>
              <w:bottom w:val="single" w:sz="4" w:space="0" w:color="auto"/>
            </w:tcBorders>
          </w:tcPr>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 каждый час подачи горячей воды суммарно в течение расчетного периода, в котором произошло отклонение давления:</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23"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w:t>
            </w:r>
          </w:p>
          <w:p w:rsidR="004A6622" w:rsidRDefault="004A66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4" w:history="1">
              <w:r>
                <w:rPr>
                  <w:rFonts w:ascii="Times New Roman" w:hAnsi="Times New Roman" w:cs="Times New Roman"/>
                  <w:color w:val="0000FF"/>
                  <w:sz w:val="20"/>
                  <w:szCs w:val="20"/>
                </w:rPr>
                <w:t>приложением N 2</w:t>
              </w:r>
            </w:hyperlink>
            <w:r>
              <w:rPr>
                <w:rFonts w:ascii="Times New Roman" w:hAnsi="Times New Roman" w:cs="Times New Roman"/>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5" w:history="1">
              <w:r>
                <w:rPr>
                  <w:rFonts w:ascii="Times New Roman" w:hAnsi="Times New Roman" w:cs="Times New Roman"/>
                  <w:color w:val="0000FF"/>
                  <w:sz w:val="20"/>
                  <w:szCs w:val="20"/>
                </w:rPr>
                <w:t>пунктом 101</w:t>
              </w:r>
            </w:hyperlink>
            <w:r>
              <w:rPr>
                <w:rFonts w:ascii="Times New Roman" w:hAnsi="Times New Roman" w:cs="Times New Roman"/>
                <w:sz w:val="20"/>
                <w:szCs w:val="20"/>
              </w:rPr>
              <w:t xml:space="preserve"> Правил</w:t>
            </w:r>
          </w:p>
        </w:tc>
      </w:tr>
    </w:tbl>
    <w:p w:rsidR="004A6622" w:rsidRPr="004A6622" w:rsidRDefault="004A6622" w:rsidP="004A6622">
      <w:pPr>
        <w:jc w:val="both"/>
        <w:rPr>
          <w:sz w:val="26"/>
          <w:szCs w:val="26"/>
        </w:rPr>
      </w:pPr>
    </w:p>
    <w:sectPr w:rsidR="004A6622" w:rsidRPr="004A6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73"/>
    <w:rsid w:val="00267BDF"/>
    <w:rsid w:val="00481267"/>
    <w:rsid w:val="004A6622"/>
    <w:rsid w:val="005B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02F1"/>
  <w15:docId w15:val="{2ED9E2E3-FA3E-4690-BD4E-C524696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E686A1AAA0A02F4882889D728271487D2A553299F841E6834ACE24930DD7749CD254507417A69FA32AA3A0DB99EEB10B7D1A7A4BC54EABDGAD" TargetMode="External"/><Relationship Id="rId13" Type="http://schemas.openxmlformats.org/officeDocument/2006/relationships/hyperlink" Target="consultantplus://offline/ref=FA95559A8029DA49E718AB59455E52170C51FEC65DA1583BCA2321F45A415635643CE3B880BFFE4C55F62DAE7B7FC68204735463E7D4D3A4Z4HED" TargetMode="External"/><Relationship Id="rId18" Type="http://schemas.openxmlformats.org/officeDocument/2006/relationships/hyperlink" Target="consultantplus://offline/ref=FA95559A8029DA49E718AB59455E52170C51FEC65DA1583BCA2321F45A415635643CE3B880BFFE4C55F62DAE7B7FC68204735463E7D4D3A4Z4HE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A95559A8029DA49E718AB59455E52170C51FEC65DA1583BCA2321F45A415635643CE3B880BFFC4C56F62DAE7B7FC68204735463E7D4D3A4Z4HED" TargetMode="External"/><Relationship Id="rId7" Type="http://schemas.openxmlformats.org/officeDocument/2006/relationships/hyperlink" Target="consultantplus://offline/ref=71FE686A1AAA0A02F4882889D728271487D2A553299F841E6834ACE24930DD7749CD254507417869F932AA3A0DB99EEB10B7D1A7A4BC54EABDGAD" TargetMode="External"/><Relationship Id="rId12" Type="http://schemas.openxmlformats.org/officeDocument/2006/relationships/hyperlink" Target="consultantplus://offline/ref=FA95559A8029DA49E718AB59455E52170C51FEC65DA1583BCA2321F45A415635643CE3B880BFFC4C56F62DAE7B7FC68204735463E7D4D3A4Z4HED" TargetMode="External"/><Relationship Id="rId17" Type="http://schemas.openxmlformats.org/officeDocument/2006/relationships/hyperlink" Target="consultantplus://offline/ref=FA95559A8029DA49E718AB59455E52170C51FEC65DA1583BCA2321F45A415635643CE3B880BFFC4C56F62DAE7B7FC68204735463E7D4D3A4Z4HED" TargetMode="External"/><Relationship Id="rId25" Type="http://schemas.openxmlformats.org/officeDocument/2006/relationships/hyperlink" Target="consultantplus://offline/ref=FA95559A8029DA49E718AB59455E52170C51FEC65DA1583BCA2321F45A415635643CE3B880BFFE4F55F62DAE7B7FC68204735463E7D4D3A4Z4HED" TargetMode="External"/><Relationship Id="rId2" Type="http://schemas.openxmlformats.org/officeDocument/2006/relationships/settings" Target="settings.xml"/><Relationship Id="rId16" Type="http://schemas.openxmlformats.org/officeDocument/2006/relationships/hyperlink" Target="consultantplus://offline/ref=FA95559A8029DA49E718AB59455E52170754F1C25DAB0531C27A2DF65D4E09226375EFB980BFFB4B5FA928BB6A27CA821B6C577FFBD6D2ZAHCD" TargetMode="External"/><Relationship Id="rId20" Type="http://schemas.openxmlformats.org/officeDocument/2006/relationships/hyperlink" Target="consultantplus://offline/ref=FA95559A8029DA49E718AB59455E52170754F1C25DAB0531C27A2DF65D4E09226375EFB980BFFB4B5FA928BB6A27CA821B6C577FFBD6D2ZAHCD" TargetMode="External"/><Relationship Id="rId1" Type="http://schemas.openxmlformats.org/officeDocument/2006/relationships/styles" Target="styles.xml"/><Relationship Id="rId6" Type="http://schemas.openxmlformats.org/officeDocument/2006/relationships/hyperlink" Target="consultantplus://offline/ref=71FE686A1AAA0A02F4882889D728271485D3A952279F841E6834ACE24930DD775BCD7D4906406069F927FC6B48BEG5D" TargetMode="External"/><Relationship Id="rId11" Type="http://schemas.openxmlformats.org/officeDocument/2006/relationships/hyperlink" Target="consultantplus://offline/ref=FA95559A8029DA49E718AB59455E52170754F1C25DAB0531C27A2DF65D4E09226375EFB980BFFB4B5FA928BB6A27CA821B6C577FFBD6D2ZAHCD" TargetMode="External"/><Relationship Id="rId24" Type="http://schemas.openxmlformats.org/officeDocument/2006/relationships/hyperlink" Target="consultantplus://offline/ref=FA95559A8029DA49E718AB59455E52170C51FEC65DA1583BCA2321F45A415635643CE3B880BFFC4C56F62DAE7B7FC68204735463E7D4D3A4Z4HED" TargetMode="External"/><Relationship Id="rId5" Type="http://schemas.openxmlformats.org/officeDocument/2006/relationships/hyperlink" Target="consultantplus://offline/ref=71FE686A1AAA0A02F4882889D728271487D2A553299F841E6834ACE24930DD7749CD254507417A69FA32AA3A0DB99EEB10B7D1A7A4BC54EABDGAD" TargetMode="External"/><Relationship Id="rId15" Type="http://schemas.openxmlformats.org/officeDocument/2006/relationships/hyperlink" Target="consultantplus://offline/ref=FA95559A8029DA49E718AB59455E52170C51F2C354A7583BCA2321F45A415635763CBBB481BEE44C56E37BFF3EZ2H3D" TargetMode="External"/><Relationship Id="rId23" Type="http://schemas.openxmlformats.org/officeDocument/2006/relationships/hyperlink" Target="consultantplus://offline/ref=FA95559A8029DA49E718AB59455E52170C51FEC65DA1583BCA2321F45A415635643CE3B880BFFC4C56F62DAE7B7FC68204735463E7D4D3A4Z4HED" TargetMode="External"/><Relationship Id="rId10" Type="http://schemas.openxmlformats.org/officeDocument/2006/relationships/hyperlink" Target="consultantplus://offline/ref=71FE686A1AAA0A02F4882889D728271487D2A553299F841E6834ACE24930DD7749CD254507417A6AFA32AA3A0DB99EEB10B7D1A7A4BC54EABDGAD" TargetMode="External"/><Relationship Id="rId19" Type="http://schemas.openxmlformats.org/officeDocument/2006/relationships/hyperlink" Target="consultantplus://offline/ref=FA95559A8029DA49E718AB59455E52170C51F2C354A7583BCA2321F45A415635763CBBB481BEE44C56E37BFF3EZ2H3D" TargetMode="External"/><Relationship Id="rId4" Type="http://schemas.openxmlformats.org/officeDocument/2006/relationships/hyperlink" Target="consultantplus://offline/ref=71FE686A1AAA0A02F4882889D728271487D2A553299F841E6834ACE24930DD7749CD254507417869F932AA3A0DB99EEB10B7D1A7A4BC54EABDGAD" TargetMode="External"/><Relationship Id="rId9" Type="http://schemas.openxmlformats.org/officeDocument/2006/relationships/hyperlink" Target="consultantplus://offline/ref=71FE686A1AAA0A02F4882889D728271487D2A553299F841E6834ACE24930DD7749CD254507417869F932AA3A0DB99EEB10B7D1A7A4BC54EABDGAD" TargetMode="External"/><Relationship Id="rId14" Type="http://schemas.openxmlformats.org/officeDocument/2006/relationships/hyperlink" Target="consultantplus://offline/ref=FA95559A8029DA49E718AB59455E52170E57FEC355A2583BCA2321F45A415635643CE3B880BFFA4E53F62DAE7B7FC68204735463E7D4D3A4Z4HED" TargetMode="External"/><Relationship Id="rId22" Type="http://schemas.openxmlformats.org/officeDocument/2006/relationships/hyperlink" Target="consultantplus://offline/ref=FA95559A8029DA49E718AB59455E52170C51FEC65DA1583BCA2321F45A415635643CE3B880BFFE4F55F62DAE7B7FC68204735463E7D4D3A4Z4H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Исправников Александр Николаевич</dc:creator>
  <cp:keywords/>
  <dc:description/>
  <cp:lastModifiedBy>User</cp:lastModifiedBy>
  <cp:revision>2</cp:revision>
  <dcterms:created xsi:type="dcterms:W3CDTF">2019-12-11T07:07:00Z</dcterms:created>
  <dcterms:modified xsi:type="dcterms:W3CDTF">2019-12-11T07:07:00Z</dcterms:modified>
</cp:coreProperties>
</file>