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814" w:rsidRPr="00F01814" w:rsidRDefault="00F01814" w:rsidP="00F01814">
      <w:pPr>
        <w:spacing w:after="135" w:line="540" w:lineRule="atLeast"/>
        <w:jc w:val="center"/>
        <w:outlineLvl w:val="1"/>
        <w:rPr>
          <w:rFonts w:ascii="DintextCompProRegular" w:eastAsia="Times New Roman" w:hAnsi="DintextCompProRegular" w:cs="Times New Roman"/>
          <w:color w:val="004D94"/>
          <w:sz w:val="45"/>
          <w:szCs w:val="45"/>
          <w:lang w:eastAsia="ru-RU"/>
        </w:rPr>
      </w:pPr>
      <w:r w:rsidRPr="00F01814">
        <w:rPr>
          <w:rFonts w:ascii="DintextCompProRegular" w:eastAsia="Times New Roman" w:hAnsi="DintextCompProRegular" w:cs="Times New Roman"/>
          <w:color w:val="004D94"/>
          <w:sz w:val="45"/>
          <w:szCs w:val="45"/>
          <w:lang w:eastAsia="ru-RU"/>
        </w:rPr>
        <w:t>Последствия неоплаты</w:t>
      </w:r>
    </w:p>
    <w:p w:rsidR="00F01814" w:rsidRPr="00F01814" w:rsidRDefault="00F01814" w:rsidP="00F01814">
      <w:pPr>
        <w:spacing w:after="300" w:line="300" w:lineRule="atLeast"/>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На данной странице опубликована информация об основаниях для введения полного и (или) частичного ограничения режима потребления электрическо</w:t>
      </w:r>
      <w:r>
        <w:rPr>
          <w:rFonts w:ascii="Tahoma" w:eastAsia="Times New Roman" w:hAnsi="Tahoma" w:cs="Tahoma"/>
          <w:color w:val="000000"/>
          <w:sz w:val="21"/>
          <w:szCs w:val="21"/>
          <w:lang w:eastAsia="ru-RU"/>
        </w:rPr>
        <w:t>й энергии в соответствии с п. 4</w:t>
      </w:r>
      <w:r w:rsidRPr="00F01814">
        <w:rPr>
          <w:rFonts w:ascii="Tahoma" w:eastAsia="Times New Roman" w:hAnsi="Tahoma" w:cs="Tahoma"/>
          <w:color w:val="000000"/>
          <w:sz w:val="21"/>
          <w:szCs w:val="21"/>
          <w:lang w:eastAsia="ru-RU"/>
        </w:rPr>
        <w:t>9 д).</w:t>
      </w:r>
    </w:p>
    <w:p w:rsidR="00F01814" w:rsidRPr="00F01814" w:rsidRDefault="00F01814" w:rsidP="00F01814">
      <w:pPr>
        <w:spacing w:after="0" w:line="240" w:lineRule="auto"/>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Основания для введения полного и (или) частичного ограничения режима потребления электрической энергии</w:t>
      </w:r>
    </w:p>
    <w:p w:rsidR="00F01814" w:rsidRPr="00F01814" w:rsidRDefault="00F01814" w:rsidP="00F01814">
      <w:pPr>
        <w:spacing w:after="0" w:line="300" w:lineRule="atLeast"/>
        <w:jc w:val="both"/>
        <w:rPr>
          <w:rFonts w:ascii="Tahoma" w:eastAsia="Times New Roman" w:hAnsi="Tahoma" w:cs="Tahoma"/>
          <w:color w:val="000000"/>
          <w:sz w:val="21"/>
          <w:szCs w:val="21"/>
          <w:lang w:eastAsia="ru-RU"/>
        </w:rPr>
      </w:pPr>
      <w:r w:rsidRPr="00F01814">
        <w:rPr>
          <w:rFonts w:ascii="Tahoma" w:eastAsia="Times New Roman" w:hAnsi="Tahoma" w:cs="Tahoma"/>
          <w:b/>
          <w:bCs/>
          <w:color w:val="000000"/>
          <w:sz w:val="21"/>
          <w:szCs w:val="21"/>
          <w:lang w:eastAsia="ru-RU"/>
        </w:rPr>
        <w:t>Ограничение режима потребления электрической энергии вводится при наступлении любого из следующих обстоятельств</w:t>
      </w:r>
      <w:r w:rsidRPr="00F01814">
        <w:rPr>
          <w:rFonts w:ascii="Tahoma" w:eastAsia="Times New Roman" w:hAnsi="Tahoma" w:cs="Tahoma"/>
          <w:color w:val="000000"/>
          <w:sz w:val="21"/>
          <w:szCs w:val="21"/>
          <w:lang w:eastAsia="ru-RU"/>
        </w:rPr>
        <w:t>:</w:t>
      </w:r>
    </w:p>
    <w:p w:rsidR="00F01814" w:rsidRPr="00F01814" w:rsidRDefault="00F01814" w:rsidP="00F01814">
      <w:pPr>
        <w:numPr>
          <w:ilvl w:val="0"/>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получение законного требования судебного пристава-исполнителя о введении ограничения режима потребления;</w:t>
      </w:r>
      <w:bookmarkStart w:id="0" w:name="_GoBack"/>
      <w:bookmarkEnd w:id="0"/>
    </w:p>
    <w:p w:rsidR="00F01814" w:rsidRPr="00F01814" w:rsidRDefault="00F01814" w:rsidP="00F01814">
      <w:pPr>
        <w:numPr>
          <w:ilvl w:val="0"/>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нарушение потребителем своих обязательств, выразившееся в следующих действиях:</w:t>
      </w:r>
    </w:p>
    <w:p w:rsidR="00F01814" w:rsidRPr="00F01814" w:rsidRDefault="00F01814" w:rsidP="00F01814">
      <w:pPr>
        <w:numPr>
          <w:ilvl w:val="1"/>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 xml:space="preserve">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w:t>
      </w:r>
      <w:proofErr w:type="spellStart"/>
      <w:r w:rsidRPr="00F01814">
        <w:rPr>
          <w:rFonts w:ascii="Tahoma" w:eastAsia="Times New Roman" w:hAnsi="Tahoma" w:cs="Tahoma"/>
          <w:color w:val="000000"/>
          <w:sz w:val="21"/>
          <w:szCs w:val="21"/>
          <w:lang w:eastAsia="ru-RU"/>
        </w:rPr>
        <w:t>энергосбытовой</w:t>
      </w:r>
      <w:proofErr w:type="spellEnd"/>
      <w:r w:rsidRPr="00F01814">
        <w:rPr>
          <w:rFonts w:ascii="Tahoma" w:eastAsia="Times New Roman" w:hAnsi="Tahoma" w:cs="Tahoma"/>
          <w:color w:val="000000"/>
          <w:sz w:val="21"/>
          <w:szCs w:val="21"/>
          <w:lang w:eastAsia="ru-RU"/>
        </w:rPr>
        <w:t xml:space="preserve">, </w:t>
      </w:r>
      <w:proofErr w:type="spellStart"/>
      <w:r w:rsidRPr="00F01814">
        <w:rPr>
          <w:rFonts w:ascii="Tahoma" w:eastAsia="Times New Roman" w:hAnsi="Tahoma" w:cs="Tahoma"/>
          <w:color w:val="000000"/>
          <w:sz w:val="21"/>
          <w:szCs w:val="21"/>
          <w:lang w:eastAsia="ru-RU"/>
        </w:rPr>
        <w:t>энергоснабжающей</w:t>
      </w:r>
      <w:proofErr w:type="spellEnd"/>
      <w:r w:rsidRPr="00F01814">
        <w:rPr>
          <w:rFonts w:ascii="Tahoma" w:eastAsia="Times New Roman" w:hAnsi="Tahoma" w:cs="Tahoma"/>
          <w:color w:val="000000"/>
          <w:sz w:val="21"/>
          <w:szCs w:val="21"/>
          <w:lang w:eastAsia="ru-RU"/>
        </w:rPr>
        <w:t xml:space="preserve">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F01814" w:rsidRPr="00F01814" w:rsidRDefault="00F01814" w:rsidP="00F01814">
      <w:pPr>
        <w:numPr>
          <w:ilvl w:val="1"/>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F01814" w:rsidRPr="00F01814" w:rsidRDefault="00F01814" w:rsidP="00F01814">
      <w:pPr>
        <w:numPr>
          <w:ilvl w:val="1"/>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F01814" w:rsidRPr="00F01814" w:rsidRDefault="00F01814" w:rsidP="00F01814">
      <w:pPr>
        <w:numPr>
          <w:ilvl w:val="1"/>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w:t>
      </w:r>
      <w:proofErr w:type="spellStart"/>
      <w:r w:rsidRPr="00F01814">
        <w:rPr>
          <w:rFonts w:ascii="Tahoma" w:eastAsia="Times New Roman" w:hAnsi="Tahoma" w:cs="Tahoma"/>
          <w:color w:val="000000"/>
          <w:sz w:val="21"/>
          <w:szCs w:val="21"/>
          <w:lang w:eastAsia="ru-RU"/>
        </w:rPr>
        <w:t>энергопринимающего</w:t>
      </w:r>
      <w:proofErr w:type="spellEnd"/>
      <w:r w:rsidRPr="00F01814">
        <w:rPr>
          <w:rFonts w:ascii="Tahoma" w:eastAsia="Times New Roman" w:hAnsi="Tahoma" w:cs="Tahoma"/>
          <w:color w:val="000000"/>
          <w:sz w:val="21"/>
          <w:szCs w:val="21"/>
          <w:lang w:eastAsia="ru-RU"/>
        </w:rPr>
        <w:t xml:space="preserve"> устройства потребителя), вызванное подключением потребителем к принадлежащим ему </w:t>
      </w:r>
      <w:proofErr w:type="spellStart"/>
      <w:r w:rsidRPr="00F01814">
        <w:rPr>
          <w:rFonts w:ascii="Tahoma" w:eastAsia="Times New Roman" w:hAnsi="Tahoma" w:cs="Tahoma"/>
          <w:color w:val="000000"/>
          <w:sz w:val="21"/>
          <w:szCs w:val="21"/>
          <w:lang w:eastAsia="ru-RU"/>
        </w:rPr>
        <w:t>энергопринимающим</w:t>
      </w:r>
      <w:proofErr w:type="spellEnd"/>
      <w:r w:rsidRPr="00F01814">
        <w:rPr>
          <w:rFonts w:ascii="Tahoma" w:eastAsia="Times New Roman" w:hAnsi="Tahoma" w:cs="Tahoma"/>
          <w:color w:val="000000"/>
          <w:sz w:val="21"/>
          <w:szCs w:val="21"/>
          <w:lang w:eastAsia="ru-RU"/>
        </w:rPr>
        <w:t xml:space="preserve"> устройствам и (или) объектам электроэнергетики </w:t>
      </w:r>
      <w:proofErr w:type="spellStart"/>
      <w:r w:rsidRPr="00F01814">
        <w:rPr>
          <w:rFonts w:ascii="Tahoma" w:eastAsia="Times New Roman" w:hAnsi="Tahoma" w:cs="Tahoma"/>
          <w:color w:val="000000"/>
          <w:sz w:val="21"/>
          <w:szCs w:val="21"/>
          <w:lang w:eastAsia="ru-RU"/>
        </w:rPr>
        <w:t>электропотребляющего</w:t>
      </w:r>
      <w:proofErr w:type="spellEnd"/>
      <w:r w:rsidRPr="00F01814">
        <w:rPr>
          <w:rFonts w:ascii="Tahoma" w:eastAsia="Times New Roman" w:hAnsi="Tahoma" w:cs="Tahoma"/>
          <w:color w:val="000000"/>
          <w:sz w:val="21"/>
          <w:szCs w:val="21"/>
          <w:lang w:eastAsia="ru-RU"/>
        </w:rPr>
        <w:t xml:space="preserve"> оборудования либо изменением потребителем режима работы подключенного </w:t>
      </w:r>
      <w:proofErr w:type="spellStart"/>
      <w:r w:rsidRPr="00F01814">
        <w:rPr>
          <w:rFonts w:ascii="Tahoma" w:eastAsia="Times New Roman" w:hAnsi="Tahoma" w:cs="Tahoma"/>
          <w:color w:val="000000"/>
          <w:sz w:val="21"/>
          <w:szCs w:val="21"/>
          <w:lang w:eastAsia="ru-RU"/>
        </w:rPr>
        <w:t>электропотребляющего</w:t>
      </w:r>
      <w:proofErr w:type="spellEnd"/>
      <w:r w:rsidRPr="00F01814">
        <w:rPr>
          <w:rFonts w:ascii="Tahoma" w:eastAsia="Times New Roman" w:hAnsi="Tahoma" w:cs="Tahoma"/>
          <w:color w:val="000000"/>
          <w:sz w:val="21"/>
          <w:szCs w:val="21"/>
          <w:lang w:eastAsia="ru-RU"/>
        </w:rPr>
        <w:t xml:space="preserve"> оборудования;</w:t>
      </w:r>
    </w:p>
    <w:p w:rsidR="00F01814" w:rsidRPr="00F01814" w:rsidRDefault="00F01814" w:rsidP="00F01814">
      <w:pPr>
        <w:numPr>
          <w:ilvl w:val="1"/>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возникновение у членов садоводческих, огороднических или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задолженности по оплате электрической энергии по договору энергоснабжения или перед садоводческим, огородническим или дачным некоммерческим объединением ввиду неисполнения или ненадлежащего исполнения обязательств по оплате части стоимости электрической энергии, потребленной при использовании объектов инфраструктуры и другого имущества общего пользования садоводческого, огороднического или дачного некоммерческого объединения, и части потерь электрической энергии, возникших в объектах электросетевого хозяйства, принадлежащих садоводческому, огородническому или дачному некоммерческому объединению;</w:t>
      </w:r>
    </w:p>
    <w:p w:rsidR="00F01814" w:rsidRPr="00F01814" w:rsidRDefault="00F01814" w:rsidP="00F01814">
      <w:pPr>
        <w:numPr>
          <w:ilvl w:val="0"/>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lastRenderedPageBreak/>
        <w:t xml:space="preserve">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w:t>
      </w:r>
      <w:proofErr w:type="spellStart"/>
      <w:r w:rsidRPr="00F01814">
        <w:rPr>
          <w:rFonts w:ascii="Tahoma" w:eastAsia="Times New Roman" w:hAnsi="Tahoma" w:cs="Tahoma"/>
          <w:color w:val="000000"/>
          <w:sz w:val="21"/>
          <w:szCs w:val="21"/>
          <w:lang w:eastAsia="ru-RU"/>
        </w:rPr>
        <w:t>энергопринимающих</w:t>
      </w:r>
      <w:proofErr w:type="spellEnd"/>
      <w:r w:rsidRPr="00F01814">
        <w:rPr>
          <w:rFonts w:ascii="Tahoma" w:eastAsia="Times New Roman" w:hAnsi="Tahoma" w:cs="Tahoma"/>
          <w:color w:val="000000"/>
          <w:sz w:val="21"/>
          <w:szCs w:val="21"/>
          <w:lang w:eastAsia="ru-RU"/>
        </w:rPr>
        <w:t xml:space="preserve"> устройств и (или) объектов электроэнергетики по договору оказания услуг по передаче электрической энергии;</w:t>
      </w:r>
    </w:p>
    <w:p w:rsidR="00F01814" w:rsidRPr="00F01814" w:rsidRDefault="00F01814" w:rsidP="00F01814">
      <w:pPr>
        <w:numPr>
          <w:ilvl w:val="0"/>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выявление факта бездоговорного потребления электрической энергии;</w:t>
      </w:r>
    </w:p>
    <w:p w:rsidR="00F01814" w:rsidRPr="00F01814" w:rsidRDefault="00F01814" w:rsidP="00F01814">
      <w:pPr>
        <w:numPr>
          <w:ilvl w:val="0"/>
          <w:numId w:val="1"/>
        </w:numPr>
        <w:spacing w:after="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 xml:space="preserve">выявление ненадлежащего технологического присоединения </w:t>
      </w:r>
      <w:proofErr w:type="spellStart"/>
      <w:r w:rsidRPr="00F01814">
        <w:rPr>
          <w:rFonts w:ascii="Tahoma" w:eastAsia="Times New Roman" w:hAnsi="Tahoma" w:cs="Tahoma"/>
          <w:color w:val="000000"/>
          <w:sz w:val="21"/>
          <w:szCs w:val="21"/>
          <w:lang w:eastAsia="ru-RU"/>
        </w:rPr>
        <w:t>энергопринимающих</w:t>
      </w:r>
      <w:proofErr w:type="spellEnd"/>
      <w:r w:rsidRPr="00F01814">
        <w:rPr>
          <w:rFonts w:ascii="Tahoma" w:eastAsia="Times New Roman" w:hAnsi="Tahoma" w:cs="Tahoma"/>
          <w:color w:val="000000"/>
          <w:sz w:val="21"/>
          <w:szCs w:val="21"/>
          <w:lang w:eastAsia="ru-RU"/>
        </w:rPr>
        <w:t xml:space="preserve"> устройств потребителя, которое установлено гарантирующим поставщиком, заключившим с этим потребителем в случаях, предусмотренных </w:t>
      </w:r>
      <w:hyperlink r:id="rId5" w:history="1">
        <w:r w:rsidRPr="00F01814">
          <w:rPr>
            <w:rFonts w:ascii="Tahoma" w:eastAsia="Times New Roman" w:hAnsi="Tahoma" w:cs="Tahoma"/>
            <w:color w:val="004485"/>
            <w:sz w:val="21"/>
            <w:szCs w:val="21"/>
            <w:u w:val="single"/>
            <w:lang w:eastAsia="ru-RU"/>
          </w:rPr>
          <w:t xml:space="preserve">Основными </w:t>
        </w:r>
        <w:proofErr w:type="spellStart"/>
        <w:r w:rsidRPr="00F01814">
          <w:rPr>
            <w:rFonts w:ascii="Tahoma" w:eastAsia="Times New Roman" w:hAnsi="Tahoma" w:cs="Tahoma"/>
            <w:color w:val="004485"/>
            <w:sz w:val="21"/>
            <w:szCs w:val="21"/>
            <w:u w:val="single"/>
            <w:lang w:eastAsia="ru-RU"/>
          </w:rPr>
          <w:t>положениями</w:t>
        </w:r>
      </w:hyperlink>
      <w:r w:rsidRPr="00F01814">
        <w:rPr>
          <w:rFonts w:ascii="Tahoma" w:eastAsia="Times New Roman" w:hAnsi="Tahoma" w:cs="Tahoma"/>
          <w:color w:val="000000"/>
          <w:sz w:val="21"/>
          <w:szCs w:val="21"/>
          <w:lang w:eastAsia="ru-RU"/>
        </w:rPr>
        <w:t>функционирования</w:t>
      </w:r>
      <w:proofErr w:type="spellEnd"/>
      <w:r w:rsidRPr="00F01814">
        <w:rPr>
          <w:rFonts w:ascii="Tahoma" w:eastAsia="Times New Roman" w:hAnsi="Tahoma" w:cs="Tahoma"/>
          <w:color w:val="000000"/>
          <w:sz w:val="21"/>
          <w:szCs w:val="21"/>
          <w:lang w:eastAsia="ru-RU"/>
        </w:rPr>
        <w:t xml:space="preserve">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при отсутствии документов, подтверждающих технологическое присоединение и (или) разграничение балансовой принадлежности;</w:t>
      </w:r>
    </w:p>
    <w:p w:rsidR="00F01814" w:rsidRPr="00F01814" w:rsidRDefault="00F01814" w:rsidP="00F01814">
      <w:pPr>
        <w:numPr>
          <w:ilvl w:val="0"/>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 xml:space="preserve">поступление от потребителя заявления о введении в отношении его </w:t>
      </w:r>
      <w:proofErr w:type="spellStart"/>
      <w:r w:rsidRPr="00F01814">
        <w:rPr>
          <w:rFonts w:ascii="Tahoma" w:eastAsia="Times New Roman" w:hAnsi="Tahoma" w:cs="Tahoma"/>
          <w:color w:val="000000"/>
          <w:sz w:val="21"/>
          <w:szCs w:val="21"/>
          <w:lang w:eastAsia="ru-RU"/>
        </w:rPr>
        <w:t>энергопринимающих</w:t>
      </w:r>
      <w:proofErr w:type="spellEnd"/>
      <w:r w:rsidRPr="00F01814">
        <w:rPr>
          <w:rFonts w:ascii="Tahoma" w:eastAsia="Times New Roman" w:hAnsi="Tahoma" w:cs="Tahoma"/>
          <w:color w:val="000000"/>
          <w:sz w:val="21"/>
          <w:szCs w:val="21"/>
          <w:lang w:eastAsia="ru-RU"/>
        </w:rPr>
        <w:t xml:space="preserve">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F01814" w:rsidRPr="00F01814" w:rsidRDefault="00F01814" w:rsidP="00F01814">
      <w:pPr>
        <w:numPr>
          <w:ilvl w:val="0"/>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01814" w:rsidRPr="00F01814" w:rsidRDefault="00F01814" w:rsidP="00F01814">
      <w:pPr>
        <w:numPr>
          <w:ilvl w:val="0"/>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возникновение (угроза возникновения) аварийных электроэнергетических режимов;</w:t>
      </w:r>
    </w:p>
    <w:p w:rsidR="00F01814" w:rsidRPr="00F01814" w:rsidRDefault="00F01814" w:rsidP="00F01814">
      <w:pPr>
        <w:numPr>
          <w:ilvl w:val="0"/>
          <w:numId w:val="1"/>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 xml:space="preserve">необходимость проведения ремонтных работ на объектах электросетевого хозяйства сетевой организации, к которым присоединены </w:t>
      </w:r>
      <w:proofErr w:type="spellStart"/>
      <w:r w:rsidRPr="00F01814">
        <w:rPr>
          <w:rFonts w:ascii="Tahoma" w:eastAsia="Times New Roman" w:hAnsi="Tahoma" w:cs="Tahoma"/>
          <w:color w:val="000000"/>
          <w:sz w:val="21"/>
          <w:szCs w:val="21"/>
          <w:lang w:eastAsia="ru-RU"/>
        </w:rPr>
        <w:t>энергопринимающие</w:t>
      </w:r>
      <w:proofErr w:type="spellEnd"/>
      <w:r w:rsidRPr="00F01814">
        <w:rPr>
          <w:rFonts w:ascii="Tahoma" w:eastAsia="Times New Roman" w:hAnsi="Tahoma" w:cs="Tahoma"/>
          <w:color w:val="000000"/>
          <w:sz w:val="21"/>
          <w:szCs w:val="21"/>
          <w:lang w:eastAsia="ru-RU"/>
        </w:rPr>
        <w:t xml:space="preserve">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F01814" w:rsidRPr="00F01814" w:rsidRDefault="00F01814" w:rsidP="00F01814">
      <w:pPr>
        <w:spacing w:after="135" w:line="450" w:lineRule="atLeast"/>
        <w:jc w:val="both"/>
        <w:outlineLvl w:val="2"/>
        <w:rPr>
          <w:rFonts w:ascii="DintextCompProRegular" w:eastAsia="Times New Roman" w:hAnsi="DintextCompProRegular" w:cs="Tahoma"/>
          <w:color w:val="000000"/>
          <w:sz w:val="38"/>
          <w:szCs w:val="38"/>
          <w:lang w:eastAsia="ru-RU"/>
        </w:rPr>
      </w:pPr>
      <w:r w:rsidRPr="00F01814">
        <w:rPr>
          <w:rFonts w:ascii="DintextCompProRegular" w:eastAsia="Times New Roman" w:hAnsi="DintextCompProRegular" w:cs="Tahoma"/>
          <w:color w:val="000000"/>
          <w:sz w:val="38"/>
          <w:szCs w:val="38"/>
          <w:lang w:eastAsia="ru-RU"/>
        </w:rPr>
        <w:t>Прекращение предоставления коммунальной услуги электроснабжения</w:t>
      </w:r>
    </w:p>
    <w:p w:rsidR="00F01814" w:rsidRPr="00F01814" w:rsidRDefault="00F01814" w:rsidP="00F01814">
      <w:pPr>
        <w:spacing w:after="0" w:line="300" w:lineRule="atLeast"/>
        <w:jc w:val="both"/>
        <w:rPr>
          <w:rFonts w:ascii="Tahoma" w:eastAsia="Times New Roman" w:hAnsi="Tahoma" w:cs="Tahoma"/>
          <w:color w:val="000000"/>
          <w:sz w:val="21"/>
          <w:szCs w:val="21"/>
          <w:lang w:eastAsia="ru-RU"/>
        </w:rPr>
      </w:pPr>
      <w:r w:rsidRPr="00F01814">
        <w:rPr>
          <w:rFonts w:ascii="Tahoma" w:eastAsia="Times New Roman" w:hAnsi="Tahoma" w:cs="Tahoma"/>
          <w:b/>
          <w:bCs/>
          <w:color w:val="000000"/>
          <w:sz w:val="21"/>
          <w:szCs w:val="21"/>
          <w:lang w:eastAsia="ru-RU"/>
        </w:rPr>
        <w:t>Исполнитель ограничивает или приостанавливает предоставление коммунальных услуг без предварительного уведомления потребителя в случае</w:t>
      </w:r>
      <w:r w:rsidRPr="00F01814">
        <w:rPr>
          <w:rFonts w:ascii="Tahoma" w:eastAsia="Times New Roman" w:hAnsi="Tahoma" w:cs="Tahoma"/>
          <w:color w:val="000000"/>
          <w:sz w:val="21"/>
          <w:szCs w:val="21"/>
          <w:lang w:eastAsia="ru-RU"/>
        </w:rPr>
        <w:t>:</w:t>
      </w:r>
    </w:p>
    <w:p w:rsidR="00F01814" w:rsidRPr="00F01814" w:rsidRDefault="00F01814" w:rsidP="00F01814">
      <w:pPr>
        <w:numPr>
          <w:ilvl w:val="0"/>
          <w:numId w:val="2"/>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возникновения или угрозы возникновения аварийной ситуации в централизованных сетях инженерно- 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F01814" w:rsidRPr="00F01814" w:rsidRDefault="00F01814" w:rsidP="00F01814">
      <w:pPr>
        <w:numPr>
          <w:ilvl w:val="0"/>
          <w:numId w:val="2"/>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F01814" w:rsidRPr="00F01814" w:rsidRDefault="00F01814" w:rsidP="00F01814">
      <w:pPr>
        <w:numPr>
          <w:ilvl w:val="0"/>
          <w:numId w:val="2"/>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F01814" w:rsidRPr="00F01814" w:rsidRDefault="00F01814" w:rsidP="00F01814">
      <w:pPr>
        <w:numPr>
          <w:ilvl w:val="0"/>
          <w:numId w:val="2"/>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 xml:space="preserve">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w:t>
      </w:r>
      <w:r w:rsidRPr="00F01814">
        <w:rPr>
          <w:rFonts w:ascii="Tahoma" w:eastAsia="Times New Roman" w:hAnsi="Tahoma" w:cs="Tahoma"/>
          <w:color w:val="000000"/>
          <w:sz w:val="21"/>
          <w:szCs w:val="21"/>
          <w:lang w:eastAsia="ru-RU"/>
        </w:rPr>
        <w:lastRenderedPageBreak/>
        <w:t>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F01814" w:rsidRPr="00F01814" w:rsidRDefault="00F01814" w:rsidP="00F01814">
      <w:pPr>
        <w:numPr>
          <w:ilvl w:val="0"/>
          <w:numId w:val="2"/>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F01814" w:rsidRPr="00F01814" w:rsidRDefault="00F01814" w:rsidP="00F01814">
      <w:pPr>
        <w:spacing w:after="0" w:line="300" w:lineRule="atLeast"/>
        <w:jc w:val="both"/>
        <w:rPr>
          <w:rFonts w:ascii="Tahoma" w:eastAsia="Times New Roman" w:hAnsi="Tahoma" w:cs="Tahoma"/>
          <w:color w:val="000000"/>
          <w:sz w:val="21"/>
          <w:szCs w:val="21"/>
          <w:lang w:eastAsia="ru-RU"/>
        </w:rPr>
      </w:pPr>
      <w:r w:rsidRPr="00F01814">
        <w:rPr>
          <w:rFonts w:ascii="Tahoma" w:eastAsia="Times New Roman" w:hAnsi="Tahoma" w:cs="Tahoma"/>
          <w:b/>
          <w:bCs/>
          <w:color w:val="000000"/>
          <w:sz w:val="21"/>
          <w:szCs w:val="21"/>
          <w:lang w:eastAsia="ru-RU"/>
        </w:rPr>
        <w:t>Исполнитель ограничивает или приостанавливает предоставление коммунальной услуги, предварительно уведомив об этом потребителя, в случае</w:t>
      </w:r>
      <w:r w:rsidRPr="00F01814">
        <w:rPr>
          <w:rFonts w:ascii="Tahoma" w:eastAsia="Times New Roman" w:hAnsi="Tahoma" w:cs="Tahoma"/>
          <w:color w:val="000000"/>
          <w:sz w:val="21"/>
          <w:szCs w:val="21"/>
          <w:lang w:eastAsia="ru-RU"/>
        </w:rPr>
        <w:t>:</w:t>
      </w:r>
    </w:p>
    <w:p w:rsidR="00F01814" w:rsidRPr="00F01814" w:rsidRDefault="00F01814" w:rsidP="00F01814">
      <w:pPr>
        <w:numPr>
          <w:ilvl w:val="0"/>
          <w:numId w:val="3"/>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неполной оплаты потребителем коммунальной услуги в порядке и сроки, которые установлены настоящими Правилами;</w:t>
      </w:r>
    </w:p>
    <w:p w:rsidR="00F01814" w:rsidRPr="00F01814" w:rsidRDefault="00F01814" w:rsidP="00F01814">
      <w:pPr>
        <w:numPr>
          <w:ilvl w:val="0"/>
          <w:numId w:val="3"/>
        </w:numPr>
        <w:spacing w:after="90" w:line="300" w:lineRule="atLeast"/>
        <w:ind w:left="0"/>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F01814" w:rsidRPr="00F01814" w:rsidRDefault="00F01814" w:rsidP="00F01814">
      <w:pPr>
        <w:spacing w:after="300" w:line="300" w:lineRule="atLeast"/>
        <w:jc w:val="both"/>
        <w:rPr>
          <w:rFonts w:ascii="Tahoma" w:eastAsia="Times New Roman" w:hAnsi="Tahoma" w:cs="Tahoma"/>
          <w:color w:val="000000"/>
          <w:sz w:val="21"/>
          <w:szCs w:val="21"/>
          <w:lang w:eastAsia="ru-RU"/>
        </w:rPr>
      </w:pPr>
      <w:r w:rsidRPr="00F01814">
        <w:rPr>
          <w:rFonts w:ascii="Tahoma" w:eastAsia="Times New Roman" w:hAnsi="Tahoma" w:cs="Tahoma"/>
          <w:color w:val="000000"/>
          <w:sz w:val="21"/>
          <w:szCs w:val="21"/>
          <w:lang w:eastAsia="ru-RU"/>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7326FA" w:rsidRDefault="007326FA" w:rsidP="00F01814">
      <w:pPr>
        <w:jc w:val="both"/>
      </w:pPr>
    </w:p>
    <w:sectPr w:rsidR="00732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ntextCompPro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36AD9"/>
    <w:multiLevelType w:val="multilevel"/>
    <w:tmpl w:val="CA56D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C53E9A"/>
    <w:multiLevelType w:val="multilevel"/>
    <w:tmpl w:val="C6E6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110519"/>
    <w:multiLevelType w:val="multilevel"/>
    <w:tmpl w:val="6CF08D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27"/>
    <w:rsid w:val="007326FA"/>
    <w:rsid w:val="00A60D27"/>
    <w:rsid w:val="00F0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59A0-59D4-4702-93C9-7D48FE1D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018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018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18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0181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01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1814"/>
    <w:rPr>
      <w:b/>
      <w:bCs/>
    </w:rPr>
  </w:style>
  <w:style w:type="character" w:customStyle="1" w:styleId="apple-converted-space">
    <w:name w:val="apple-converted-space"/>
    <w:basedOn w:val="a0"/>
    <w:rsid w:val="00F01814"/>
  </w:style>
  <w:style w:type="character" w:styleId="a5">
    <w:name w:val="Hyperlink"/>
    <w:basedOn w:val="a0"/>
    <w:uiPriority w:val="99"/>
    <w:semiHidden/>
    <w:unhideWhenUsed/>
    <w:rsid w:val="00F01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613024">
      <w:bodyDiv w:val="1"/>
      <w:marLeft w:val="0"/>
      <w:marRight w:val="0"/>
      <w:marTop w:val="0"/>
      <w:marBottom w:val="0"/>
      <w:divBdr>
        <w:top w:val="none" w:sz="0" w:space="0" w:color="auto"/>
        <w:left w:val="none" w:sz="0" w:space="0" w:color="auto"/>
        <w:bottom w:val="none" w:sz="0" w:space="0" w:color="auto"/>
        <w:right w:val="none" w:sz="0" w:space="0" w:color="auto"/>
      </w:divBdr>
      <w:divsChild>
        <w:div w:id="579674473">
          <w:marLeft w:val="0"/>
          <w:marRight w:val="0"/>
          <w:marTop w:val="0"/>
          <w:marBottom w:val="0"/>
          <w:divBdr>
            <w:top w:val="none" w:sz="0" w:space="0" w:color="auto"/>
            <w:left w:val="none" w:sz="0" w:space="0" w:color="auto"/>
            <w:bottom w:val="none" w:sz="0" w:space="0" w:color="auto"/>
            <w:right w:val="none" w:sz="0" w:space="0" w:color="auto"/>
          </w:divBdr>
          <w:divsChild>
            <w:div w:id="238446076">
              <w:marLeft w:val="0"/>
              <w:marRight w:val="0"/>
              <w:marTop w:val="0"/>
              <w:marBottom w:val="0"/>
              <w:divBdr>
                <w:top w:val="none" w:sz="0" w:space="0" w:color="auto"/>
                <w:left w:val="none" w:sz="0" w:space="0" w:color="auto"/>
                <w:bottom w:val="none" w:sz="0" w:space="0" w:color="auto"/>
                <w:right w:val="none" w:sz="0" w:space="0" w:color="auto"/>
              </w:divBdr>
            </w:div>
          </w:divsChild>
        </w:div>
        <w:div w:id="1845244908">
          <w:marLeft w:val="0"/>
          <w:marRight w:val="0"/>
          <w:marTop w:val="0"/>
          <w:marBottom w:val="0"/>
          <w:divBdr>
            <w:top w:val="none" w:sz="0" w:space="0" w:color="auto"/>
            <w:left w:val="none" w:sz="0" w:space="0" w:color="auto"/>
            <w:bottom w:val="none" w:sz="0" w:space="0" w:color="auto"/>
            <w:right w:val="none" w:sz="0" w:space="0" w:color="auto"/>
          </w:divBdr>
          <w:divsChild>
            <w:div w:id="1494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yt.mrsk-ural.ru/wp-content/uploads/2019/01/PPRF44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Кислухин Александр Александрович</dc:creator>
  <cp:keywords/>
  <dc:description/>
  <cp:lastModifiedBy>Кислухин Александр Александрович</cp:lastModifiedBy>
  <cp:revision>2</cp:revision>
  <dcterms:created xsi:type="dcterms:W3CDTF">2019-11-25T11:16:00Z</dcterms:created>
  <dcterms:modified xsi:type="dcterms:W3CDTF">2019-11-25T11:17:00Z</dcterms:modified>
</cp:coreProperties>
</file>